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7E" w:rsidRDefault="00743F71" w:rsidP="00FE417E">
      <w:pPr>
        <w:pStyle w:val="Citationintense"/>
        <w:spacing w:before="0" w:after="0"/>
        <w:ind w:left="-142"/>
        <w:rPr>
          <w:sz w:val="40"/>
          <w:szCs w:val="40"/>
        </w:rPr>
      </w:pPr>
      <w:r>
        <w:rPr>
          <w:noProof/>
        </w:rPr>
        <w:drawing>
          <wp:inline distT="0" distB="0" distL="0" distR="0" wp14:anchorId="5514E83C" wp14:editId="1E1E21A9">
            <wp:extent cx="1288111" cy="749034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A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298" cy="7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503" w:rsidRPr="006D0D34" w:rsidRDefault="00483F74" w:rsidP="00FE417E">
      <w:pPr>
        <w:pStyle w:val="Citationintense"/>
        <w:spacing w:before="0" w:after="0"/>
        <w:ind w:left="-142"/>
        <w:rPr>
          <w:color w:val="548DD4" w:themeColor="text2" w:themeTint="99"/>
          <w:sz w:val="40"/>
          <w:szCs w:val="40"/>
        </w:rPr>
      </w:pPr>
      <w:r w:rsidRPr="006D0D34">
        <w:rPr>
          <w:sz w:val="40"/>
          <w:szCs w:val="40"/>
        </w:rPr>
        <w:t>Profil de poste</w:t>
      </w:r>
      <w:r w:rsidR="005B67BB" w:rsidRPr="006D0D34">
        <w:rPr>
          <w:sz w:val="40"/>
          <w:szCs w:val="40"/>
        </w:rPr>
        <w:t xml:space="preserve"> / </w:t>
      </w:r>
      <w:r w:rsidR="00A75326">
        <w:rPr>
          <w:color w:val="548DD4" w:themeColor="text2" w:themeTint="99"/>
          <w:sz w:val="40"/>
          <w:szCs w:val="40"/>
        </w:rPr>
        <w:t>Coordinateur du dispositif PRE</w:t>
      </w:r>
    </w:p>
    <w:tbl>
      <w:tblPr>
        <w:tblStyle w:val="Grilledutableau"/>
        <w:tblW w:w="0" w:type="auto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6767"/>
      </w:tblGrid>
      <w:tr w:rsidR="00B51503" w:rsidRPr="00FB6D06" w:rsidTr="00E7057B">
        <w:trPr>
          <w:trHeight w:val="490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B51503" w:rsidRPr="00FB6D06" w:rsidRDefault="00B51503">
            <w:pPr>
              <w:spacing w:before="24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B6D06">
              <w:rPr>
                <w:rFonts w:ascii="Century Gothic" w:hAnsi="Century Gothic" w:cs="Arial"/>
                <w:b/>
                <w:sz w:val="22"/>
                <w:szCs w:val="22"/>
              </w:rPr>
              <w:t>CATEGORIE</w:t>
            </w:r>
          </w:p>
        </w:tc>
        <w:tc>
          <w:tcPr>
            <w:tcW w:w="6767" w:type="dxa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B51503" w:rsidRPr="006D0D34" w:rsidRDefault="00A75326" w:rsidP="004074D9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</w:t>
            </w:r>
          </w:p>
        </w:tc>
      </w:tr>
      <w:tr w:rsidR="00B51503" w:rsidRPr="00FB6D06" w:rsidTr="00B51503">
        <w:trPr>
          <w:trHeight w:val="490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B51503" w:rsidRPr="00FB6D06" w:rsidRDefault="00B5150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B6D06">
              <w:rPr>
                <w:rFonts w:ascii="Century Gothic" w:hAnsi="Century Gothic" w:cs="Arial"/>
                <w:b/>
                <w:sz w:val="22"/>
                <w:szCs w:val="22"/>
              </w:rPr>
              <w:t>FILIERE</w:t>
            </w:r>
            <w:r w:rsidRPr="00FB6D06">
              <w:rPr>
                <w:rFonts w:ascii="Century Gothic" w:hAnsi="Century Gothic" w:cs="Arial"/>
                <w:sz w:val="22"/>
                <w:szCs w:val="22"/>
              </w:rPr>
              <w:t> </w:t>
            </w:r>
          </w:p>
        </w:tc>
        <w:tc>
          <w:tcPr>
            <w:tcW w:w="6767" w:type="dxa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  <w:hideMark/>
          </w:tcPr>
          <w:p w:rsidR="00B51503" w:rsidRPr="006D0D34" w:rsidRDefault="008026D6">
            <w:pPr>
              <w:rPr>
                <w:rFonts w:ascii="Century Gothic" w:hAnsi="Century Gothic" w:cs="Arial"/>
              </w:rPr>
            </w:pPr>
            <w:r w:rsidRPr="006D0D34">
              <w:rPr>
                <w:rFonts w:ascii="Century Gothic" w:hAnsi="Century Gothic" w:cs="Arial"/>
              </w:rPr>
              <w:t>Administrative</w:t>
            </w:r>
          </w:p>
        </w:tc>
      </w:tr>
      <w:tr w:rsidR="00B51503" w:rsidRPr="00FB6D06" w:rsidTr="00B51503">
        <w:trPr>
          <w:trHeight w:val="491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B51503" w:rsidRPr="00FB6D06" w:rsidRDefault="00B5150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B6D06">
              <w:rPr>
                <w:rFonts w:ascii="Century Gothic" w:hAnsi="Century Gothic" w:cs="Arial"/>
                <w:b/>
                <w:sz w:val="22"/>
                <w:szCs w:val="22"/>
              </w:rPr>
              <w:t>CADRE D’EMPLOI</w:t>
            </w:r>
            <w:r w:rsidRPr="00FB6D06">
              <w:rPr>
                <w:rFonts w:ascii="Century Gothic" w:hAnsi="Century Gothic" w:cs="Arial"/>
                <w:sz w:val="22"/>
                <w:szCs w:val="22"/>
              </w:rPr>
              <w:t> </w:t>
            </w:r>
          </w:p>
        </w:tc>
        <w:tc>
          <w:tcPr>
            <w:tcW w:w="6767" w:type="dxa"/>
            <w:tcBorders>
              <w:top w:val="single" w:sz="2" w:space="0" w:color="1F497D" w:themeColor="text2"/>
              <w:left w:val="nil"/>
              <w:bottom w:val="single" w:sz="4" w:space="0" w:color="auto"/>
              <w:right w:val="single" w:sz="2" w:space="0" w:color="1F497D" w:themeColor="text2"/>
            </w:tcBorders>
            <w:vAlign w:val="center"/>
            <w:hideMark/>
          </w:tcPr>
          <w:p w:rsidR="00B51503" w:rsidRPr="006D0D34" w:rsidRDefault="00A75326" w:rsidP="004D5DFE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Attaché</w:t>
            </w:r>
          </w:p>
        </w:tc>
      </w:tr>
      <w:tr w:rsidR="00B51503" w:rsidRPr="00FB6D06" w:rsidTr="00B51503">
        <w:trPr>
          <w:trHeight w:val="490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B51503" w:rsidRPr="00FB6D06" w:rsidRDefault="00B5150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B6D06">
              <w:rPr>
                <w:rFonts w:ascii="Century Gothic" w:hAnsi="Century Gothic" w:cs="Arial"/>
                <w:b/>
                <w:sz w:val="22"/>
                <w:szCs w:val="22"/>
              </w:rPr>
              <w:t>POSTE A POURVOIR</w:t>
            </w:r>
            <w:r w:rsidRPr="00FB6D0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  <w:hideMark/>
          </w:tcPr>
          <w:p w:rsidR="00B51503" w:rsidRPr="006D0D34" w:rsidRDefault="00A75326" w:rsidP="004D5DFE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Coordinateur du dispositif PRE</w:t>
            </w:r>
          </w:p>
        </w:tc>
      </w:tr>
      <w:tr w:rsidR="00ED3839" w:rsidRPr="00FB6D06" w:rsidTr="00B51503">
        <w:trPr>
          <w:trHeight w:val="490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</w:tcPr>
          <w:p w:rsidR="00ED3839" w:rsidRPr="00FB6D06" w:rsidRDefault="00ED383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DIRECTION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ED3839" w:rsidRPr="006D0D34" w:rsidRDefault="008026D6" w:rsidP="004D5DFE">
            <w:pPr>
              <w:rPr>
                <w:rFonts w:ascii="Century Gothic" w:hAnsi="Century Gothic" w:cs="Arial"/>
              </w:rPr>
            </w:pPr>
            <w:r w:rsidRPr="006D0D34">
              <w:rPr>
                <w:rFonts w:ascii="Century Gothic" w:hAnsi="Century Gothic" w:cs="Arial"/>
              </w:rPr>
              <w:t>CCAS</w:t>
            </w:r>
          </w:p>
        </w:tc>
      </w:tr>
      <w:tr w:rsidR="00E7057B" w:rsidRPr="00FB6D06" w:rsidTr="00B51503">
        <w:trPr>
          <w:trHeight w:val="490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</w:tcPr>
          <w:p w:rsidR="00E7057B" w:rsidRDefault="00E7057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SERVICE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E7057B" w:rsidRPr="006D0D34" w:rsidRDefault="00307471" w:rsidP="00A82873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Action sociale</w:t>
            </w:r>
          </w:p>
        </w:tc>
      </w:tr>
      <w:tr w:rsidR="00E7057B" w:rsidRPr="00FB6D06" w:rsidTr="00B51503">
        <w:trPr>
          <w:trHeight w:val="491"/>
        </w:trPr>
        <w:tc>
          <w:tcPr>
            <w:tcW w:w="2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E7057B" w:rsidRPr="00FB6D06" w:rsidRDefault="00E7057B">
            <w:pPr>
              <w:spacing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B6D06">
              <w:rPr>
                <w:rFonts w:ascii="Century Gothic" w:hAnsi="Century Gothic" w:cs="Arial"/>
                <w:b/>
                <w:sz w:val="22"/>
                <w:szCs w:val="22"/>
              </w:rPr>
              <w:t>AFFECTATION</w:t>
            </w:r>
            <w:r w:rsidRPr="00FB6D06">
              <w:rPr>
                <w:rFonts w:ascii="Century Gothic" w:hAnsi="Century Gothic" w:cs="Arial"/>
                <w:sz w:val="22"/>
                <w:szCs w:val="22"/>
              </w:rPr>
              <w:t> </w:t>
            </w:r>
          </w:p>
        </w:tc>
        <w:tc>
          <w:tcPr>
            <w:tcW w:w="6767" w:type="dxa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  <w:hideMark/>
          </w:tcPr>
          <w:p w:rsidR="00E7057B" w:rsidRPr="00696584" w:rsidRDefault="00DA3676">
            <w:pPr>
              <w:rPr>
                <w:rFonts w:ascii="Century Gothic" w:hAnsi="Century Gothic" w:cs="Arial"/>
                <w:color w:val="FF0000"/>
              </w:rPr>
            </w:pPr>
            <w:r w:rsidRPr="00DA3676">
              <w:rPr>
                <w:rFonts w:ascii="Century Gothic" w:hAnsi="Century Gothic" w:cs="Arial"/>
              </w:rPr>
              <w:t>CCAS</w:t>
            </w:r>
          </w:p>
        </w:tc>
      </w:tr>
    </w:tbl>
    <w:p w:rsidR="00307471" w:rsidRDefault="00307471" w:rsidP="00307471">
      <w:pPr>
        <w:rPr>
          <w:rFonts w:ascii="Century Gothic" w:hAnsi="Century Gothic"/>
          <w:sz w:val="20"/>
          <w:szCs w:val="20"/>
        </w:rPr>
      </w:pPr>
    </w:p>
    <w:p w:rsidR="00A75326" w:rsidRPr="00307471" w:rsidRDefault="00A75326" w:rsidP="00307471">
      <w:pPr>
        <w:rPr>
          <w:rFonts w:ascii="Century Gothic" w:hAnsi="Century Gothic"/>
          <w:sz w:val="20"/>
          <w:szCs w:val="20"/>
        </w:rPr>
      </w:pPr>
      <w:r w:rsidRPr="00307471">
        <w:rPr>
          <w:rFonts w:ascii="Century Gothic" w:hAnsi="Century Gothic"/>
          <w:sz w:val="20"/>
          <w:szCs w:val="20"/>
        </w:rPr>
        <w:t>Sous l'autorité hiérarchique d</w:t>
      </w:r>
      <w:r w:rsidR="000D4D2A" w:rsidRPr="00307471">
        <w:rPr>
          <w:rFonts w:ascii="Century Gothic" w:hAnsi="Century Gothic"/>
          <w:sz w:val="20"/>
          <w:szCs w:val="20"/>
        </w:rPr>
        <w:t>e la responsable du service action sociale</w:t>
      </w:r>
      <w:r w:rsidRPr="00307471">
        <w:rPr>
          <w:rFonts w:ascii="Century Gothic" w:hAnsi="Century Gothic"/>
          <w:sz w:val="20"/>
          <w:szCs w:val="20"/>
        </w:rPr>
        <w:t>, vous avez pour mission la mise en œuvre et l’évaluation de ce dispositif, et</w:t>
      </w:r>
      <w:r w:rsidR="00B4297D">
        <w:rPr>
          <w:rFonts w:ascii="Century Gothic" w:hAnsi="Century Gothic"/>
          <w:sz w:val="20"/>
          <w:szCs w:val="20"/>
        </w:rPr>
        <w:t xml:space="preserve"> la coordination et</w:t>
      </w:r>
      <w:r w:rsidRPr="00307471">
        <w:rPr>
          <w:rFonts w:ascii="Century Gothic" w:hAnsi="Century Gothic"/>
          <w:sz w:val="20"/>
          <w:szCs w:val="20"/>
        </w:rPr>
        <w:t xml:space="preserve"> l’animation des différentes instances de ce programme sur le territoire de Saint-Priest.</w:t>
      </w:r>
      <w:r w:rsidR="00C0270D" w:rsidRPr="00307471">
        <w:rPr>
          <w:rFonts w:ascii="Century Gothic" w:hAnsi="Century Gothic"/>
          <w:sz w:val="20"/>
          <w:szCs w:val="20"/>
        </w:rPr>
        <w:t xml:space="preserve"> </w:t>
      </w:r>
      <w:r w:rsidRPr="00307471">
        <w:rPr>
          <w:rFonts w:ascii="Century Gothic" w:hAnsi="Century Gothic"/>
          <w:sz w:val="20"/>
          <w:szCs w:val="20"/>
        </w:rPr>
        <w:t>Vous êtes force de proposition auprès de votre hiérarchie et du conseil d’administration du CCAS.</w:t>
      </w:r>
    </w:p>
    <w:p w:rsidR="001E2D89" w:rsidRDefault="001E2D89" w:rsidP="00A75326">
      <w:pPr>
        <w:pStyle w:val="Citationintense"/>
        <w:spacing w:before="0" w:after="0" w:line="360" w:lineRule="auto"/>
        <w:ind w:left="0"/>
        <w:rPr>
          <w:rStyle w:val="CitationintenseCar"/>
          <w:b/>
          <w:sz w:val="28"/>
          <w:szCs w:val="28"/>
        </w:rPr>
      </w:pPr>
    </w:p>
    <w:p w:rsidR="005B67BB" w:rsidRPr="0079541E" w:rsidRDefault="000C5D39" w:rsidP="00A75326">
      <w:pPr>
        <w:pStyle w:val="Citationintense"/>
        <w:spacing w:before="0" w:after="0" w:line="360" w:lineRule="auto"/>
        <w:ind w:left="0"/>
        <w:rPr>
          <w:b w:val="0"/>
          <w:bCs w:val="0"/>
          <w:i w:val="0"/>
          <w:iCs w:val="0"/>
          <w:sz w:val="28"/>
          <w:szCs w:val="28"/>
        </w:rPr>
      </w:pPr>
      <w:r>
        <w:rPr>
          <w:rStyle w:val="CitationintenseCar"/>
          <w:b/>
          <w:sz w:val="28"/>
          <w:szCs w:val="28"/>
        </w:rPr>
        <w:t>Les m</w:t>
      </w:r>
      <w:r w:rsidR="0079541E" w:rsidRPr="00FB6D06">
        <w:rPr>
          <w:rStyle w:val="CitationintenseCar"/>
          <w:b/>
          <w:sz w:val="28"/>
          <w:szCs w:val="28"/>
        </w:rPr>
        <w:t>issions</w:t>
      </w:r>
      <w:r>
        <w:rPr>
          <w:rStyle w:val="CitationintenseCar"/>
          <w:b/>
          <w:sz w:val="28"/>
          <w:szCs w:val="28"/>
        </w:rPr>
        <w:t xml:space="preserve"> </w:t>
      </w:r>
      <w:r w:rsidR="00307471">
        <w:rPr>
          <w:rStyle w:val="CitationintenseCar"/>
          <w:b/>
          <w:sz w:val="28"/>
          <w:szCs w:val="28"/>
        </w:rPr>
        <w:t>du poste</w:t>
      </w:r>
      <w:r w:rsidR="0063593B">
        <w:rPr>
          <w:rStyle w:val="CitationintenseCar"/>
          <w:b/>
          <w:sz w:val="28"/>
          <w:szCs w:val="28"/>
        </w:rPr>
        <w:t> :</w:t>
      </w:r>
    </w:p>
    <w:p w:rsidR="00A75326" w:rsidRPr="00A75326" w:rsidRDefault="002971F2" w:rsidP="00A75326">
      <w:pPr>
        <w:spacing w:line="360" w:lineRule="auto"/>
        <w:ind w:firstLine="648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Mission de </w:t>
      </w:r>
      <w:r w:rsidR="00A75326" w:rsidRPr="00A75326">
        <w:rPr>
          <w:rFonts w:ascii="Century Gothic" w:hAnsi="Century Gothic"/>
          <w:b/>
          <w:sz w:val="20"/>
          <w:szCs w:val="20"/>
          <w:u w:val="single"/>
        </w:rPr>
        <w:t>Veille éducative</w:t>
      </w:r>
      <w:r w:rsidR="00A75326" w:rsidRPr="00A75326">
        <w:rPr>
          <w:rFonts w:ascii="Century Gothic" w:hAnsi="Century Gothic"/>
          <w:b/>
          <w:sz w:val="20"/>
          <w:szCs w:val="20"/>
        </w:rPr>
        <w:t> :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>Diagnostiquer la prise en charge éducative à Saint-Priest : besoins et réponses mobilisé</w:t>
      </w:r>
      <w:r w:rsidR="008F3CC3">
        <w:rPr>
          <w:rFonts w:ascii="Century Gothic" w:hAnsi="Century Gothic"/>
          <w:sz w:val="20"/>
          <w:szCs w:val="20"/>
        </w:rPr>
        <w:t>e</w:t>
      </w:r>
      <w:r w:rsidRPr="00A75326">
        <w:rPr>
          <w:rFonts w:ascii="Century Gothic" w:hAnsi="Century Gothic"/>
          <w:sz w:val="20"/>
          <w:szCs w:val="20"/>
        </w:rPr>
        <w:t>s,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Organiser l’évaluation annuelle du dispositif présenté au comité de pilotage, 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>Recueillir et mettre en forme les statistiques et les tableaux de suivi des situations,</w:t>
      </w:r>
    </w:p>
    <w:p w:rsidR="00A75326" w:rsidRDefault="00C0270D" w:rsidP="008D1A8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75326" w:rsidRPr="000D4D2A">
        <w:rPr>
          <w:rFonts w:ascii="Century Gothic" w:hAnsi="Century Gothic"/>
          <w:sz w:val="20"/>
          <w:szCs w:val="20"/>
        </w:rPr>
        <w:t>Mettre en place des outils structurants du PRE et leur suivi (charte déontologique, logiciel PRE, règlement des comités…).</w:t>
      </w:r>
    </w:p>
    <w:p w:rsidR="001832B0" w:rsidRPr="000D4D2A" w:rsidRDefault="001832B0" w:rsidP="008D1A8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Apporter votre expertise par un retour d’information et de proposition auprès de votre responsable.</w:t>
      </w:r>
    </w:p>
    <w:p w:rsidR="00A75326" w:rsidRPr="00A75326" w:rsidRDefault="00A75326" w:rsidP="00A75326">
      <w:pPr>
        <w:spacing w:line="360" w:lineRule="auto"/>
        <w:ind w:firstLine="648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A75326">
        <w:rPr>
          <w:rFonts w:ascii="Century Gothic" w:hAnsi="Century Gothic"/>
          <w:b/>
          <w:sz w:val="20"/>
          <w:szCs w:val="20"/>
          <w:u w:val="single"/>
        </w:rPr>
        <w:t>Mission de coordination et de développement de projets</w:t>
      </w:r>
      <w:r w:rsidRPr="00A75326">
        <w:rPr>
          <w:rFonts w:ascii="Century Gothic" w:hAnsi="Century Gothic"/>
          <w:b/>
          <w:sz w:val="20"/>
          <w:szCs w:val="20"/>
        </w:rPr>
        <w:t xml:space="preserve"> :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Coordonner les comités d’entrées et pluridisciplinaire, 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Organiser et </w:t>
      </w:r>
      <w:r w:rsidR="00874ED2" w:rsidRPr="00A75326">
        <w:rPr>
          <w:rFonts w:ascii="Century Gothic" w:hAnsi="Century Gothic"/>
          <w:sz w:val="20"/>
          <w:szCs w:val="20"/>
        </w:rPr>
        <w:t>animer des</w:t>
      </w:r>
      <w:r w:rsidRPr="00A75326">
        <w:rPr>
          <w:rFonts w:ascii="Century Gothic" w:hAnsi="Century Gothic"/>
          <w:sz w:val="20"/>
          <w:szCs w:val="20"/>
        </w:rPr>
        <w:t xml:space="preserve"> comités de </w:t>
      </w:r>
      <w:r w:rsidR="00874ED2" w:rsidRPr="00A75326">
        <w:rPr>
          <w:rFonts w:ascii="Century Gothic" w:hAnsi="Century Gothic"/>
          <w:sz w:val="20"/>
          <w:szCs w:val="20"/>
        </w:rPr>
        <w:t>pilotage et</w:t>
      </w:r>
      <w:r w:rsidRPr="00A75326">
        <w:rPr>
          <w:rFonts w:ascii="Century Gothic" w:hAnsi="Century Gothic"/>
          <w:sz w:val="20"/>
          <w:szCs w:val="20"/>
        </w:rPr>
        <w:t xml:space="preserve"> de suivi,</w:t>
      </w:r>
    </w:p>
    <w:p w:rsidR="00A75326" w:rsidRPr="00A75326" w:rsidRDefault="00874ED2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  <w:r w:rsidRPr="00A75326">
        <w:rPr>
          <w:rFonts w:ascii="Century Gothic" w:hAnsi="Century Gothic"/>
          <w:sz w:val="20"/>
          <w:szCs w:val="20"/>
        </w:rPr>
        <w:t>Mobiliser et</w:t>
      </w:r>
      <w:r w:rsidR="00A75326" w:rsidRPr="00A75326">
        <w:rPr>
          <w:rFonts w:ascii="Century Gothic" w:hAnsi="Century Gothic"/>
          <w:sz w:val="20"/>
          <w:szCs w:val="20"/>
        </w:rPr>
        <w:t xml:space="preserve"> accompagner le réseau d’acteurs : développer l</w:t>
      </w:r>
      <w:r w:rsidR="003E7D71">
        <w:rPr>
          <w:rFonts w:ascii="Century Gothic" w:hAnsi="Century Gothic"/>
          <w:sz w:val="20"/>
          <w:szCs w:val="20"/>
        </w:rPr>
        <w:t>es outils de travail partagés.</w:t>
      </w:r>
    </w:p>
    <w:p w:rsidR="00A75326" w:rsidRPr="00A75326" w:rsidRDefault="00A75326" w:rsidP="00A75326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  <w:r w:rsidRPr="00A75326">
        <w:rPr>
          <w:rFonts w:ascii="Century Gothic" w:hAnsi="Century Gothic"/>
          <w:sz w:val="20"/>
          <w:szCs w:val="20"/>
        </w:rPr>
        <w:t>Veiller et répondre aux appels à projets,</w:t>
      </w:r>
    </w:p>
    <w:p w:rsidR="00A75326" w:rsidRPr="00C0270D" w:rsidRDefault="00A75326" w:rsidP="000C4EF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  <w:r w:rsidRPr="00C0270D">
        <w:rPr>
          <w:rFonts w:ascii="Century Gothic" w:hAnsi="Century Gothic"/>
          <w:sz w:val="20"/>
          <w:szCs w:val="20"/>
        </w:rPr>
        <w:t>Développer des projets permettant le travail en prévention, en partenariat, et l’approche collective sur le dispositif.</w:t>
      </w:r>
    </w:p>
    <w:p w:rsidR="00A75326" w:rsidRPr="00A75326" w:rsidRDefault="00A75326" w:rsidP="00A75326">
      <w:pPr>
        <w:spacing w:line="360" w:lineRule="auto"/>
        <w:ind w:firstLine="648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A75326">
        <w:rPr>
          <w:rFonts w:ascii="Century Gothic" w:hAnsi="Century Gothic"/>
          <w:b/>
          <w:sz w:val="20"/>
          <w:szCs w:val="20"/>
          <w:u w:val="single"/>
        </w:rPr>
        <w:t>Mission de management</w:t>
      </w:r>
      <w:r w:rsidRPr="00A75326">
        <w:rPr>
          <w:rFonts w:ascii="Century Gothic" w:hAnsi="Century Gothic"/>
          <w:b/>
          <w:sz w:val="20"/>
          <w:szCs w:val="20"/>
        </w:rPr>
        <w:t> :</w:t>
      </w:r>
    </w:p>
    <w:p w:rsidR="00A75326" w:rsidRPr="00A75326" w:rsidRDefault="00A75326" w:rsidP="00A7532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Accompagner les référentes de parcours, le médiateur, et les agents vacataires sur </w:t>
      </w:r>
      <w:r w:rsidR="002971F2">
        <w:rPr>
          <w:rFonts w:ascii="Century Gothic" w:hAnsi="Century Gothic"/>
          <w:sz w:val="20"/>
          <w:szCs w:val="20"/>
        </w:rPr>
        <w:t>leurs missions,</w:t>
      </w:r>
      <w:r w:rsidRPr="00A75326">
        <w:rPr>
          <w:rFonts w:ascii="Century Gothic" w:hAnsi="Century Gothic"/>
          <w:sz w:val="20"/>
          <w:szCs w:val="20"/>
        </w:rPr>
        <w:t xml:space="preserve"> sur leur montée en compétences et leur évaluation</w:t>
      </w:r>
      <w:r w:rsidR="002971F2">
        <w:rPr>
          <w:rFonts w:ascii="Century Gothic" w:hAnsi="Century Gothic"/>
          <w:sz w:val="20"/>
          <w:szCs w:val="20"/>
        </w:rPr>
        <w:t xml:space="preserve"> professionnel</w:t>
      </w:r>
      <w:r w:rsidRPr="00A75326">
        <w:rPr>
          <w:rFonts w:ascii="Century Gothic" w:hAnsi="Century Gothic"/>
          <w:sz w:val="20"/>
          <w:szCs w:val="20"/>
        </w:rPr>
        <w:t>,</w:t>
      </w:r>
    </w:p>
    <w:p w:rsidR="00A75326" w:rsidRPr="00A75326" w:rsidRDefault="00A75326" w:rsidP="00A7532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lang w:eastAsia="zh-CN"/>
        </w:rPr>
      </w:pPr>
      <w:r w:rsidRPr="00A75326">
        <w:rPr>
          <w:rFonts w:ascii="Century Gothic" w:hAnsi="Century Gothic"/>
          <w:sz w:val="20"/>
          <w:szCs w:val="20"/>
          <w:lang w:eastAsia="zh-CN"/>
        </w:rPr>
        <w:lastRenderedPageBreak/>
        <w:t>Veiller à la continuité de service : gestion quotidienne des présences des agents (horaires, congés, remplacement d’urgence),</w:t>
      </w:r>
    </w:p>
    <w:p w:rsidR="00A75326" w:rsidRPr="00594F3B" w:rsidRDefault="00594F3B" w:rsidP="0022064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lang w:eastAsia="zh-CN"/>
        </w:rPr>
      </w:pPr>
      <w:r w:rsidRPr="00594F3B">
        <w:rPr>
          <w:rFonts w:ascii="Century Gothic" w:hAnsi="Century Gothic"/>
          <w:sz w:val="20"/>
          <w:szCs w:val="20"/>
        </w:rPr>
        <w:t>Suivre</w:t>
      </w:r>
      <w:r w:rsidR="00874ED2" w:rsidRPr="00594F3B">
        <w:rPr>
          <w:rFonts w:ascii="Century Gothic" w:hAnsi="Century Gothic"/>
          <w:sz w:val="20"/>
          <w:szCs w:val="20"/>
        </w:rPr>
        <w:t xml:space="preserve"> </w:t>
      </w:r>
      <w:r w:rsidR="00501461" w:rsidRPr="00594F3B">
        <w:rPr>
          <w:rFonts w:ascii="Century Gothic" w:hAnsi="Century Gothic"/>
          <w:sz w:val="20"/>
          <w:szCs w:val="20"/>
        </w:rPr>
        <w:t>l</w:t>
      </w:r>
      <w:r w:rsidR="00874ED2" w:rsidRPr="00594F3B">
        <w:rPr>
          <w:rFonts w:ascii="Century Gothic" w:hAnsi="Century Gothic"/>
          <w:sz w:val="20"/>
          <w:szCs w:val="20"/>
        </w:rPr>
        <w:t>es contrats</w:t>
      </w:r>
      <w:r>
        <w:rPr>
          <w:rFonts w:ascii="Century Gothic" w:hAnsi="Century Gothic"/>
          <w:sz w:val="20"/>
          <w:szCs w:val="20"/>
        </w:rPr>
        <w:t xml:space="preserve"> </w:t>
      </w:r>
      <w:r w:rsidR="00501461" w:rsidRPr="00594F3B">
        <w:rPr>
          <w:rFonts w:ascii="Century Gothic" w:hAnsi="Century Gothic"/>
          <w:sz w:val="20"/>
          <w:szCs w:val="20"/>
        </w:rPr>
        <w:t>et</w:t>
      </w:r>
      <w:r w:rsidR="00874ED2" w:rsidRPr="00594F3B">
        <w:rPr>
          <w:rFonts w:ascii="Century Gothic" w:hAnsi="Century Gothic"/>
          <w:sz w:val="20"/>
          <w:szCs w:val="20"/>
        </w:rPr>
        <w:t xml:space="preserve"> </w:t>
      </w:r>
      <w:r w:rsidR="00501461" w:rsidRPr="00594F3B">
        <w:rPr>
          <w:rFonts w:ascii="Century Gothic" w:hAnsi="Century Gothic"/>
          <w:sz w:val="20"/>
          <w:szCs w:val="20"/>
        </w:rPr>
        <w:t>l</w:t>
      </w:r>
      <w:r w:rsidR="00874ED2" w:rsidRPr="00594F3B">
        <w:rPr>
          <w:rFonts w:ascii="Century Gothic" w:hAnsi="Century Gothic"/>
          <w:sz w:val="20"/>
          <w:szCs w:val="20"/>
        </w:rPr>
        <w:t>es fiches de postes</w:t>
      </w:r>
      <w:r w:rsidR="00501461" w:rsidRPr="00594F3B">
        <w:rPr>
          <w:rFonts w:ascii="Century Gothic" w:hAnsi="Century Gothic"/>
          <w:sz w:val="20"/>
          <w:szCs w:val="20"/>
        </w:rPr>
        <w:t xml:space="preserve"> en lien avec le service RH</w:t>
      </w:r>
    </w:p>
    <w:p w:rsidR="00A75326" w:rsidRPr="00A75326" w:rsidRDefault="00A75326" w:rsidP="00A75326">
      <w:pPr>
        <w:spacing w:line="360" w:lineRule="auto"/>
        <w:ind w:firstLine="648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A75326">
        <w:rPr>
          <w:rFonts w:ascii="Century Gothic" w:hAnsi="Century Gothic"/>
          <w:b/>
          <w:sz w:val="20"/>
          <w:szCs w:val="20"/>
          <w:u w:val="single"/>
        </w:rPr>
        <w:t>Suivi budgétaire en lien avec le service RH finances</w:t>
      </w:r>
    </w:p>
    <w:p w:rsidR="00A75326" w:rsidRPr="00A75326" w:rsidRDefault="00A75326" w:rsidP="00A7532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  <w:r w:rsidRPr="00A75326">
        <w:rPr>
          <w:rFonts w:ascii="Century Gothic" w:hAnsi="Century Gothic"/>
          <w:sz w:val="20"/>
          <w:szCs w:val="20"/>
        </w:rPr>
        <w:t>Elaborer le bilan annuel et le dossier de demande de subvention aux partenaires financiers,</w:t>
      </w:r>
    </w:p>
    <w:p w:rsidR="00A75326" w:rsidRPr="00A75326" w:rsidRDefault="00A75326" w:rsidP="00A7532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Elaborer </w:t>
      </w:r>
      <w:r w:rsidR="002971F2">
        <w:rPr>
          <w:rFonts w:ascii="Century Gothic" w:hAnsi="Century Gothic"/>
          <w:sz w:val="20"/>
          <w:szCs w:val="20"/>
        </w:rPr>
        <w:t xml:space="preserve">et suivre </w:t>
      </w:r>
      <w:r w:rsidRPr="00A75326">
        <w:rPr>
          <w:rFonts w:ascii="Century Gothic" w:hAnsi="Century Gothic"/>
          <w:sz w:val="20"/>
          <w:szCs w:val="20"/>
        </w:rPr>
        <w:t>le budget annuel du dispositif,</w:t>
      </w:r>
    </w:p>
    <w:p w:rsidR="00A75326" w:rsidRPr="00A75326" w:rsidRDefault="00A75326" w:rsidP="00A7532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Rédiger et suivre </w:t>
      </w:r>
      <w:r w:rsidR="00874ED2" w:rsidRPr="00A75326">
        <w:rPr>
          <w:rFonts w:ascii="Century Gothic" w:hAnsi="Century Gothic"/>
          <w:sz w:val="20"/>
          <w:szCs w:val="20"/>
        </w:rPr>
        <w:t>les bons</w:t>
      </w:r>
      <w:r w:rsidRPr="00A75326">
        <w:rPr>
          <w:rFonts w:ascii="Century Gothic" w:hAnsi="Century Gothic"/>
          <w:sz w:val="20"/>
          <w:szCs w:val="20"/>
        </w:rPr>
        <w:t xml:space="preserve"> de commandes</w:t>
      </w:r>
      <w:r w:rsidR="002971F2">
        <w:rPr>
          <w:rFonts w:ascii="Century Gothic" w:hAnsi="Century Gothic"/>
          <w:sz w:val="20"/>
          <w:szCs w:val="20"/>
        </w:rPr>
        <w:t xml:space="preserve"> et les factures</w:t>
      </w:r>
    </w:p>
    <w:p w:rsidR="00A75326" w:rsidRDefault="00A75326" w:rsidP="00A7532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A75326">
        <w:rPr>
          <w:rFonts w:ascii="Century Gothic" w:hAnsi="Century Gothic"/>
          <w:sz w:val="20"/>
          <w:szCs w:val="20"/>
        </w:rPr>
        <w:t xml:space="preserve">Préparer les </w:t>
      </w:r>
      <w:r w:rsidR="002971F2" w:rsidRPr="00A75326">
        <w:rPr>
          <w:rFonts w:ascii="Century Gothic" w:hAnsi="Century Gothic"/>
          <w:sz w:val="20"/>
          <w:szCs w:val="20"/>
        </w:rPr>
        <w:t>d</w:t>
      </w:r>
      <w:r w:rsidR="002971F2">
        <w:rPr>
          <w:rFonts w:ascii="Century Gothic" w:hAnsi="Century Gothic"/>
          <w:sz w:val="20"/>
          <w:szCs w:val="20"/>
        </w:rPr>
        <w:t>élibérations</w:t>
      </w:r>
      <w:r w:rsidRPr="00A75326">
        <w:rPr>
          <w:rFonts w:ascii="Century Gothic" w:hAnsi="Century Gothic"/>
          <w:sz w:val="20"/>
          <w:szCs w:val="20"/>
        </w:rPr>
        <w:t xml:space="preserve"> et conventions.</w:t>
      </w:r>
    </w:p>
    <w:p w:rsidR="00C0270D" w:rsidRPr="001E2D89" w:rsidRDefault="001E2D89" w:rsidP="001E2D89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 w:rsidRPr="001E2D89">
        <w:rPr>
          <w:rFonts w:ascii="Century Gothic" w:hAnsi="Century Gothic"/>
          <w:b/>
          <w:sz w:val="20"/>
          <w:szCs w:val="20"/>
          <w:u w:val="single"/>
        </w:rPr>
        <w:t>Spécificité</w:t>
      </w:r>
      <w:r w:rsidR="00C0270D" w:rsidRPr="001E2D89">
        <w:rPr>
          <w:rFonts w:ascii="Century Gothic" w:hAnsi="Century Gothic"/>
          <w:b/>
          <w:sz w:val="20"/>
          <w:szCs w:val="20"/>
          <w:u w:val="single"/>
        </w:rPr>
        <w:t>s du poste :</w:t>
      </w:r>
    </w:p>
    <w:p w:rsidR="00C0270D" w:rsidRPr="001E2D89" w:rsidRDefault="00C0270D" w:rsidP="00C0270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 w:rsidRPr="001E2D89">
        <w:rPr>
          <w:rFonts w:ascii="Century Gothic" w:hAnsi="Century Gothic"/>
          <w:sz w:val="20"/>
          <w:szCs w:val="20"/>
        </w:rPr>
        <w:t xml:space="preserve">Participer aux </w:t>
      </w:r>
      <w:r w:rsidRPr="001E2D89">
        <w:rPr>
          <w:rFonts w:ascii="Century Gothic" w:hAnsi="Century Gothic"/>
          <w:b/>
          <w:sz w:val="20"/>
          <w:szCs w:val="20"/>
        </w:rPr>
        <w:t>instances partenariales en lien avec l’exercice de vos missions</w:t>
      </w:r>
    </w:p>
    <w:p w:rsidR="00C0270D" w:rsidRPr="001E2D89" w:rsidRDefault="00C0270D" w:rsidP="00C0270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b/>
          <w:sz w:val="20"/>
          <w:szCs w:val="20"/>
          <w:u w:val="single"/>
        </w:rPr>
      </w:pPr>
      <w:r w:rsidRPr="001E2D89">
        <w:rPr>
          <w:rFonts w:ascii="Century Gothic" w:hAnsi="Century Gothic"/>
          <w:sz w:val="20"/>
          <w:szCs w:val="20"/>
        </w:rPr>
        <w:t xml:space="preserve">Assurer la continuité de service </w:t>
      </w:r>
    </w:p>
    <w:p w:rsidR="00A75326" w:rsidRPr="00A75326" w:rsidRDefault="00A75326" w:rsidP="00A75326">
      <w:pPr>
        <w:pBdr>
          <w:bottom w:val="single" w:sz="4" w:space="4" w:color="4F81BD"/>
        </w:pBdr>
        <w:overflowPunct w:val="0"/>
        <w:autoSpaceDE w:val="0"/>
        <w:autoSpaceDN w:val="0"/>
        <w:adjustRightInd w:val="0"/>
        <w:spacing w:before="200" w:after="280"/>
        <w:ind w:right="936"/>
        <w:rPr>
          <w:rFonts w:ascii="Calibri" w:hAnsi="Calibri"/>
          <w:b/>
          <w:color w:val="4F81BD"/>
          <w:sz w:val="28"/>
          <w:szCs w:val="28"/>
        </w:rPr>
      </w:pPr>
      <w:r w:rsidRPr="00A75326">
        <w:rPr>
          <w:rFonts w:ascii="Calibri" w:hAnsi="Calibri"/>
          <w:color w:val="4F81BD"/>
          <w:sz w:val="28"/>
          <w:szCs w:val="28"/>
        </w:rPr>
        <w:t xml:space="preserve">Compétences requises / Profil recherché </w:t>
      </w:r>
    </w:p>
    <w:p w:rsidR="00A75326" w:rsidRPr="001832B0" w:rsidRDefault="00A75326" w:rsidP="001832B0">
      <w:pPr>
        <w:pStyle w:val="Paragraphedeliste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832B0">
        <w:rPr>
          <w:rFonts w:ascii="Century Gothic" w:eastAsia="Calibri" w:hAnsi="Century Gothic"/>
          <w:sz w:val="20"/>
          <w:szCs w:val="22"/>
          <w:lang w:eastAsia="en-US"/>
        </w:rPr>
        <w:t xml:space="preserve">Formation supérieure en master 2 Sciences </w:t>
      </w:r>
      <w:r w:rsidR="00501461" w:rsidRPr="001832B0">
        <w:rPr>
          <w:rFonts w:ascii="Century Gothic" w:eastAsia="Calibri" w:hAnsi="Century Gothic"/>
          <w:sz w:val="20"/>
          <w:szCs w:val="22"/>
          <w:lang w:eastAsia="en-US"/>
        </w:rPr>
        <w:t>Humaines et sociales ou équivalent</w:t>
      </w:r>
      <w:r w:rsidR="001E2D89" w:rsidRPr="001832B0">
        <w:rPr>
          <w:rFonts w:ascii="Century Gothic" w:eastAsia="Calibri" w:hAnsi="Century Gothic"/>
          <w:sz w:val="20"/>
          <w:szCs w:val="22"/>
          <w:lang w:eastAsia="en-US"/>
        </w:rPr>
        <w:t xml:space="preserve">  </w:t>
      </w:r>
    </w:p>
    <w:p w:rsidR="00501461" w:rsidRPr="001E2D89" w:rsidRDefault="00A75326" w:rsidP="00501461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Maîtrise des politiques socio-éducatives et parentales</w:t>
      </w:r>
      <w:r w:rsidR="00501461">
        <w:rPr>
          <w:rFonts w:ascii="Century Gothic" w:eastAsia="Calibri" w:hAnsi="Century Gothic"/>
          <w:sz w:val="20"/>
          <w:szCs w:val="22"/>
          <w:lang w:eastAsia="en-US"/>
        </w:rPr>
        <w:t xml:space="preserve">, </w:t>
      </w:r>
      <w:r w:rsidR="00501461" w:rsidRPr="001E2D89">
        <w:rPr>
          <w:rFonts w:ascii="Century Gothic" w:eastAsia="Calibri" w:hAnsi="Century Gothic"/>
          <w:sz w:val="20"/>
          <w:szCs w:val="22"/>
          <w:lang w:eastAsia="en-US"/>
        </w:rPr>
        <w:t>connaissance de la fonction publique territoriale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Expérience dans la mise en œuvre, la structuration et l’animation d’un réseau de partenaires,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 xml:space="preserve">Maîtrise en méthodologie et conduite de projets 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 xml:space="preserve">Aptitude à travailler en équipe en transversalité et compétences en matière d’organisation administrative 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Maîtrise des techniques de communication et de de l’outil informatique (Word, Excel, power point et logiciel comptable)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Maîtrise dans la gestion budgétaire et la recherche de financements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Compétence managériale</w:t>
      </w:r>
    </w:p>
    <w:p w:rsidR="00A75326" w:rsidRPr="00147C8B" w:rsidRDefault="00A75326" w:rsidP="00A7532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Discrétion, adaptation, qualités relationnelles, écoute et ouverture d’esprit</w:t>
      </w:r>
    </w:p>
    <w:p w:rsidR="00A75326" w:rsidRPr="00A75326" w:rsidRDefault="00A75326" w:rsidP="00A75326">
      <w:pPr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A75326" w:rsidRPr="00147C8B" w:rsidRDefault="00A75326" w:rsidP="00A75326">
      <w:pPr>
        <w:ind w:left="720"/>
        <w:contextualSpacing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Permis de conduire souhaité</w:t>
      </w:r>
    </w:p>
    <w:p w:rsidR="00A75326" w:rsidRPr="00A75326" w:rsidRDefault="00A75326" w:rsidP="00A75326">
      <w:pPr>
        <w:pBdr>
          <w:bottom w:val="single" w:sz="4" w:space="4" w:color="4F81BD"/>
        </w:pBdr>
        <w:overflowPunct w:val="0"/>
        <w:autoSpaceDE w:val="0"/>
        <w:autoSpaceDN w:val="0"/>
        <w:adjustRightInd w:val="0"/>
        <w:spacing w:before="200"/>
        <w:ind w:right="936"/>
        <w:rPr>
          <w:rFonts w:ascii="Calibri" w:hAnsi="Calibri"/>
          <w:b/>
          <w:bCs/>
          <w:i/>
          <w:iCs/>
          <w:color w:val="4F81BD"/>
          <w:sz w:val="20"/>
          <w:szCs w:val="20"/>
        </w:rPr>
      </w:pPr>
      <w:r w:rsidRPr="00A75326">
        <w:rPr>
          <w:rFonts w:ascii="Calibri" w:hAnsi="Calibri"/>
          <w:color w:val="4F81BD"/>
          <w:sz w:val="28"/>
          <w:szCs w:val="28"/>
        </w:rPr>
        <w:t>Relations Fonctionnelles</w:t>
      </w:r>
    </w:p>
    <w:p w:rsidR="00A75326" w:rsidRPr="00147C8B" w:rsidRDefault="00A75326" w:rsidP="00A75326">
      <w:pPr>
        <w:numPr>
          <w:ilvl w:val="0"/>
          <w:numId w:val="2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Century Gothic" w:eastAsia="Calibri" w:hAnsi="Century Gothic"/>
          <w:sz w:val="20"/>
          <w:szCs w:val="22"/>
          <w:lang w:eastAsia="en-US"/>
        </w:rPr>
      </w:pPr>
      <w:r w:rsidRPr="00147C8B">
        <w:rPr>
          <w:rFonts w:ascii="Century Gothic" w:eastAsia="Calibri" w:hAnsi="Century Gothic"/>
          <w:sz w:val="20"/>
          <w:szCs w:val="22"/>
          <w:lang w:eastAsia="en-US"/>
        </w:rPr>
        <w:t>Partenaires locaux et institutionnels</w:t>
      </w:r>
    </w:p>
    <w:p w:rsidR="00A75326" w:rsidRPr="00FE417E" w:rsidRDefault="00A75326" w:rsidP="001A765F">
      <w:pPr>
        <w:numPr>
          <w:ilvl w:val="0"/>
          <w:numId w:val="28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E417E">
        <w:rPr>
          <w:rFonts w:ascii="Century Gothic" w:eastAsia="Calibri" w:hAnsi="Century Gothic"/>
          <w:sz w:val="20"/>
          <w:szCs w:val="22"/>
          <w:lang w:eastAsia="en-US"/>
        </w:rPr>
        <w:t xml:space="preserve">Les services municipaux et ceux du CCAS </w:t>
      </w:r>
    </w:p>
    <w:p w:rsidR="00A75326" w:rsidRPr="00A75326" w:rsidRDefault="00A75326" w:rsidP="00A75326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2" w:space="0" w:color="1F497D"/>
          <w:left w:val="single" w:sz="2" w:space="0" w:color="1F497D"/>
          <w:bottom w:val="single" w:sz="2" w:space="0" w:color="1F497D"/>
          <w:right w:val="single" w:sz="2" w:space="0" w:color="1F497D"/>
        </w:tblBorders>
        <w:tblLook w:val="04A0" w:firstRow="1" w:lastRow="0" w:firstColumn="1" w:lastColumn="0" w:noHBand="0" w:noVBand="1"/>
      </w:tblPr>
      <w:tblGrid>
        <w:gridCol w:w="2391"/>
        <w:gridCol w:w="7464"/>
      </w:tblGrid>
      <w:tr w:rsidR="00A75326" w:rsidRPr="00A75326" w:rsidTr="001E59F6">
        <w:trPr>
          <w:trHeight w:val="490"/>
        </w:trPr>
        <w:tc>
          <w:tcPr>
            <w:tcW w:w="2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shd w:val="clear" w:color="auto" w:fill="B8CCE4"/>
            <w:vAlign w:val="center"/>
            <w:hideMark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 w:colFirst="0" w:colLast="1"/>
            <w:r w:rsidRPr="00A75326">
              <w:rPr>
                <w:rFonts w:ascii="Calibri" w:hAnsi="Calibri"/>
                <w:b/>
                <w:sz w:val="22"/>
                <w:szCs w:val="22"/>
              </w:rPr>
              <w:t>HORAIRES DE TRAVAIL</w:t>
            </w:r>
          </w:p>
        </w:tc>
        <w:tc>
          <w:tcPr>
            <w:tcW w:w="7464" w:type="dxa"/>
            <w:tcBorders>
              <w:top w:val="single" w:sz="2" w:space="0" w:color="1F497D"/>
              <w:left w:val="nil"/>
              <w:bottom w:val="single" w:sz="2" w:space="0" w:color="1F497D"/>
              <w:right w:val="single" w:sz="2" w:space="0" w:color="1F497D"/>
            </w:tcBorders>
            <w:shd w:val="clear" w:color="auto" w:fill="auto"/>
            <w:vAlign w:val="center"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A75326">
              <w:rPr>
                <w:rFonts w:ascii="Calibri" w:hAnsi="Calibri"/>
                <w:sz w:val="22"/>
                <w:szCs w:val="22"/>
              </w:rPr>
              <w:t>36 heures</w:t>
            </w:r>
            <w:r w:rsidR="007E25ED">
              <w:rPr>
                <w:rFonts w:ascii="Calibri" w:hAnsi="Calibri"/>
                <w:sz w:val="22"/>
                <w:szCs w:val="22"/>
              </w:rPr>
              <w:t xml:space="preserve"> 30 minutes</w:t>
            </w:r>
            <w:r w:rsidRPr="00A75326">
              <w:rPr>
                <w:rFonts w:ascii="Calibri" w:hAnsi="Calibri"/>
                <w:sz w:val="22"/>
                <w:szCs w:val="22"/>
              </w:rPr>
              <w:t xml:space="preserve">, selon les règles en vigueur au sein de la collectivité </w:t>
            </w:r>
          </w:p>
        </w:tc>
      </w:tr>
      <w:tr w:rsidR="00A75326" w:rsidRPr="00A75326" w:rsidTr="001E59F6">
        <w:trPr>
          <w:trHeight w:val="490"/>
        </w:trPr>
        <w:tc>
          <w:tcPr>
            <w:tcW w:w="2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shd w:val="clear" w:color="auto" w:fill="B8CCE4"/>
            <w:vAlign w:val="center"/>
            <w:hideMark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A75326">
              <w:rPr>
                <w:rFonts w:ascii="Calibri" w:hAnsi="Calibri"/>
                <w:b/>
                <w:sz w:val="22"/>
                <w:szCs w:val="22"/>
              </w:rPr>
              <w:t>REMUNERATION </w:t>
            </w:r>
          </w:p>
        </w:tc>
        <w:tc>
          <w:tcPr>
            <w:tcW w:w="7464" w:type="dxa"/>
            <w:tcBorders>
              <w:top w:val="single" w:sz="2" w:space="0" w:color="1F497D"/>
              <w:left w:val="nil"/>
              <w:bottom w:val="single" w:sz="2" w:space="0" w:color="1F497D"/>
              <w:right w:val="single" w:sz="2" w:space="0" w:color="1F497D"/>
            </w:tcBorders>
            <w:shd w:val="clear" w:color="auto" w:fill="auto"/>
            <w:vAlign w:val="center"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A75326">
              <w:rPr>
                <w:rFonts w:ascii="Calibri" w:hAnsi="Calibri"/>
                <w:sz w:val="22"/>
                <w:szCs w:val="22"/>
              </w:rPr>
              <w:t xml:space="preserve">Traitement indiciaire + RIFSEEP  </w:t>
            </w:r>
          </w:p>
        </w:tc>
      </w:tr>
      <w:tr w:rsidR="00A75326" w:rsidRPr="00A75326" w:rsidTr="001E59F6">
        <w:trPr>
          <w:trHeight w:val="491"/>
        </w:trPr>
        <w:tc>
          <w:tcPr>
            <w:tcW w:w="2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shd w:val="clear" w:color="auto" w:fill="B8CCE4"/>
            <w:vAlign w:val="center"/>
            <w:hideMark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A75326">
              <w:rPr>
                <w:rFonts w:ascii="Calibri" w:hAnsi="Calibri"/>
                <w:b/>
                <w:sz w:val="22"/>
                <w:szCs w:val="22"/>
              </w:rPr>
              <w:t>DONT NBI </w:t>
            </w:r>
          </w:p>
        </w:tc>
        <w:tc>
          <w:tcPr>
            <w:tcW w:w="7464" w:type="dxa"/>
            <w:tcBorders>
              <w:top w:val="single" w:sz="2" w:space="0" w:color="1F497D"/>
              <w:left w:val="nil"/>
              <w:bottom w:val="single" w:sz="2" w:space="0" w:color="1F497D"/>
              <w:right w:val="single" w:sz="2" w:space="0" w:color="1F497D"/>
            </w:tcBorders>
            <w:shd w:val="clear" w:color="auto" w:fill="auto"/>
            <w:vAlign w:val="center"/>
          </w:tcPr>
          <w:p w:rsidR="00A75326" w:rsidRPr="00A75326" w:rsidRDefault="00A75326" w:rsidP="00A75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A75326">
              <w:rPr>
                <w:rFonts w:ascii="Calibri" w:hAnsi="Calibri"/>
                <w:sz w:val="20"/>
                <w:szCs w:val="20"/>
              </w:rPr>
              <w:t>NEANT</w:t>
            </w:r>
          </w:p>
        </w:tc>
      </w:tr>
      <w:bookmarkEnd w:id="0"/>
    </w:tbl>
    <w:p w:rsidR="00696584" w:rsidRPr="000C5D39" w:rsidRDefault="00696584" w:rsidP="0019403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Bold"/>
          <w:b/>
          <w:bCs/>
          <w:sz w:val="22"/>
          <w:szCs w:val="22"/>
        </w:rPr>
      </w:pPr>
    </w:p>
    <w:p w:rsidR="00FB6D06" w:rsidRPr="00FB6D06" w:rsidRDefault="00FB6D06" w:rsidP="00FB6D06">
      <w:pPr>
        <w:spacing w:before="120"/>
        <w:jc w:val="right"/>
        <w:rPr>
          <w:rFonts w:ascii="Century Gothic" w:hAnsi="Century Gothic"/>
          <w:i/>
          <w:sz w:val="22"/>
          <w:szCs w:val="22"/>
        </w:rPr>
      </w:pPr>
      <w:r w:rsidRPr="00FB6D06">
        <w:rPr>
          <w:rFonts w:ascii="Century Gothic" w:hAnsi="Century Gothic"/>
          <w:i/>
          <w:sz w:val="22"/>
          <w:szCs w:val="22"/>
        </w:rPr>
        <w:t xml:space="preserve">Saint-Priest, </w:t>
      </w:r>
      <w:r w:rsidR="008026D6">
        <w:rPr>
          <w:rFonts w:ascii="Century Gothic" w:hAnsi="Century Gothic"/>
          <w:i/>
          <w:sz w:val="22"/>
          <w:szCs w:val="22"/>
        </w:rPr>
        <w:t xml:space="preserve">le </w:t>
      </w:r>
      <w:r w:rsidR="00A75326">
        <w:rPr>
          <w:rFonts w:ascii="Century Gothic" w:hAnsi="Century Gothic"/>
          <w:i/>
          <w:sz w:val="22"/>
          <w:szCs w:val="22"/>
        </w:rPr>
        <w:t>2</w:t>
      </w:r>
      <w:r w:rsidR="00E73AB4">
        <w:rPr>
          <w:rFonts w:ascii="Century Gothic" w:hAnsi="Century Gothic"/>
          <w:i/>
          <w:sz w:val="22"/>
          <w:szCs w:val="22"/>
        </w:rPr>
        <w:t>2</w:t>
      </w:r>
      <w:r w:rsidR="00001B26">
        <w:rPr>
          <w:rFonts w:ascii="Century Gothic" w:hAnsi="Century Gothic"/>
          <w:i/>
          <w:sz w:val="22"/>
          <w:szCs w:val="22"/>
        </w:rPr>
        <w:t>/</w:t>
      </w:r>
      <w:r w:rsidR="00A75326">
        <w:rPr>
          <w:rFonts w:ascii="Century Gothic" w:hAnsi="Century Gothic"/>
          <w:i/>
          <w:sz w:val="22"/>
          <w:szCs w:val="22"/>
        </w:rPr>
        <w:t>1</w:t>
      </w:r>
      <w:r w:rsidR="00E73AB4">
        <w:rPr>
          <w:rFonts w:ascii="Century Gothic" w:hAnsi="Century Gothic"/>
          <w:i/>
          <w:sz w:val="22"/>
          <w:szCs w:val="22"/>
        </w:rPr>
        <w:t>1</w:t>
      </w:r>
      <w:r w:rsidR="0063593B">
        <w:rPr>
          <w:rFonts w:ascii="Century Gothic" w:hAnsi="Century Gothic"/>
          <w:i/>
          <w:sz w:val="22"/>
          <w:szCs w:val="22"/>
        </w:rPr>
        <w:t>/202</w:t>
      </w:r>
      <w:r w:rsidR="00E73AB4">
        <w:rPr>
          <w:rFonts w:ascii="Century Gothic" w:hAnsi="Century Gothic"/>
          <w:i/>
          <w:sz w:val="22"/>
          <w:szCs w:val="22"/>
        </w:rPr>
        <w:t>1</w:t>
      </w:r>
    </w:p>
    <w:tbl>
      <w:tblPr>
        <w:tblStyle w:val="Grilledutableau"/>
        <w:tblW w:w="0" w:type="auto"/>
        <w:tblBorders>
          <w:top w:val="single" w:sz="2" w:space="0" w:color="FFFFFF" w:themeColor="background1"/>
          <w:left w:val="single" w:sz="2" w:space="0" w:color="1F497D" w:themeColor="text2"/>
          <w:bottom w:val="single" w:sz="2" w:space="0" w:color="FFFFFF" w:themeColor="background1"/>
          <w:right w:val="single" w:sz="2" w:space="0" w:color="1F497D" w:themeColor="text2"/>
          <w:insideH w:val="none" w:sz="0" w:space="0" w:color="auto"/>
          <w:insideV w:val="single" w:sz="2" w:space="0" w:color="1F497D" w:themeColor="text2"/>
        </w:tblBorders>
        <w:tblLook w:val="04A0" w:firstRow="1" w:lastRow="0" w:firstColumn="1" w:lastColumn="0" w:noHBand="0" w:noVBand="1"/>
      </w:tblPr>
      <w:tblGrid>
        <w:gridCol w:w="3085"/>
      </w:tblGrid>
      <w:tr w:rsidR="004074D9" w:rsidRPr="00FB6D06" w:rsidTr="00FB6D06">
        <w:trPr>
          <w:trHeight w:val="490"/>
        </w:trPr>
        <w:tc>
          <w:tcPr>
            <w:tcW w:w="3085" w:type="dxa"/>
            <w:tcBorders>
              <w:top w:val="single" w:sz="2" w:space="0" w:color="FFFFFF" w:themeColor="background1"/>
              <w:left w:val="single" w:sz="2" w:space="0" w:color="1F497D" w:themeColor="text2"/>
              <w:bottom w:val="nil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  <w:hideMark/>
          </w:tcPr>
          <w:p w:rsidR="004074D9" w:rsidRPr="00FB6D06" w:rsidRDefault="004074D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Directrice du CCAS</w:t>
            </w:r>
          </w:p>
        </w:tc>
      </w:tr>
      <w:tr w:rsidR="004074D9" w:rsidRPr="00FB6D06" w:rsidTr="00FB6D06">
        <w:trPr>
          <w:trHeight w:val="490"/>
        </w:trPr>
        <w:tc>
          <w:tcPr>
            <w:tcW w:w="3085" w:type="dxa"/>
            <w:tcBorders>
              <w:top w:val="nil"/>
              <w:left w:val="single" w:sz="2" w:space="0" w:color="1F497D" w:themeColor="text2"/>
              <w:bottom w:val="nil"/>
              <w:right w:val="single" w:sz="2" w:space="0" w:color="1F497D" w:themeColor="text2"/>
            </w:tcBorders>
            <w:shd w:val="clear" w:color="auto" w:fill="FFFFFF" w:themeFill="background1"/>
            <w:vAlign w:val="center"/>
          </w:tcPr>
          <w:p w:rsidR="004074D9" w:rsidRPr="00FB6D06" w:rsidRDefault="00001B26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Marie Laure COMARD</w:t>
            </w:r>
          </w:p>
        </w:tc>
      </w:tr>
    </w:tbl>
    <w:p w:rsidR="00155856" w:rsidRPr="00FB6D06" w:rsidRDefault="00155856" w:rsidP="00FB6D06">
      <w:pPr>
        <w:jc w:val="center"/>
        <w:rPr>
          <w:rFonts w:ascii="Century Gothic" w:hAnsi="Century Gothic" w:cs="Century Gothic"/>
          <w:i/>
          <w:iCs/>
          <w:color w:val="000000"/>
          <w:sz w:val="20"/>
          <w:szCs w:val="20"/>
        </w:rPr>
      </w:pPr>
    </w:p>
    <w:sectPr w:rsidR="00155856" w:rsidRPr="00FB6D06" w:rsidSect="00001B2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993" w:right="849" w:bottom="1418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75" w:rsidRDefault="00FC7275" w:rsidP="00FB6D06">
      <w:r>
        <w:separator/>
      </w:r>
    </w:p>
  </w:endnote>
  <w:endnote w:type="continuationSeparator" w:id="0">
    <w:p w:rsidR="00FC7275" w:rsidRDefault="00FC7275" w:rsidP="00FB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7D" w:rsidRDefault="00C3617D" w:rsidP="00C3617D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NB : Les missions sont susceptibles d’évoluer en fonction des besoins du service</w:t>
    </w:r>
  </w:p>
  <w:p w:rsidR="00C3617D" w:rsidRDefault="00C361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75" w:rsidRDefault="00FC7275" w:rsidP="00FB6D06">
      <w:r>
        <w:separator/>
      </w:r>
    </w:p>
  </w:footnote>
  <w:footnote w:type="continuationSeparator" w:id="0">
    <w:p w:rsidR="00FC7275" w:rsidRDefault="00FC7275" w:rsidP="00FB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66" w:rsidRDefault="008A45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66" w:rsidRDefault="008A456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66" w:rsidRDefault="008A45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A23"/>
    <w:multiLevelType w:val="hybridMultilevel"/>
    <w:tmpl w:val="529CC284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8537697"/>
    <w:multiLevelType w:val="hybridMultilevel"/>
    <w:tmpl w:val="E0E44FD0"/>
    <w:lvl w:ilvl="0" w:tplc="217AAD5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41C15"/>
    <w:multiLevelType w:val="hybridMultilevel"/>
    <w:tmpl w:val="FB300BC6"/>
    <w:lvl w:ilvl="0" w:tplc="337465A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E7CD7"/>
    <w:multiLevelType w:val="hybridMultilevel"/>
    <w:tmpl w:val="D468183C"/>
    <w:lvl w:ilvl="0" w:tplc="0F047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A17DD5"/>
    <w:multiLevelType w:val="hybridMultilevel"/>
    <w:tmpl w:val="67245E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F8257D"/>
    <w:multiLevelType w:val="hybridMultilevel"/>
    <w:tmpl w:val="9864A31E"/>
    <w:lvl w:ilvl="0" w:tplc="F8C651E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D1A56"/>
    <w:multiLevelType w:val="hybridMultilevel"/>
    <w:tmpl w:val="F190B4E6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B6D3AEF"/>
    <w:multiLevelType w:val="hybridMultilevel"/>
    <w:tmpl w:val="E5D261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44585"/>
    <w:multiLevelType w:val="hybridMultilevel"/>
    <w:tmpl w:val="681EBA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4CC2"/>
    <w:multiLevelType w:val="hybridMultilevel"/>
    <w:tmpl w:val="C18C8C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16B2"/>
    <w:multiLevelType w:val="hybridMultilevel"/>
    <w:tmpl w:val="C594717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BC126C9"/>
    <w:multiLevelType w:val="hybridMultilevel"/>
    <w:tmpl w:val="45125992"/>
    <w:lvl w:ilvl="0" w:tplc="040C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F3272"/>
    <w:multiLevelType w:val="hybridMultilevel"/>
    <w:tmpl w:val="0524B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958DD"/>
    <w:multiLevelType w:val="hybridMultilevel"/>
    <w:tmpl w:val="A6C44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60253"/>
    <w:multiLevelType w:val="hybridMultilevel"/>
    <w:tmpl w:val="C250001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55D507A"/>
    <w:multiLevelType w:val="hybridMultilevel"/>
    <w:tmpl w:val="41B2B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17F70"/>
    <w:multiLevelType w:val="hybridMultilevel"/>
    <w:tmpl w:val="64E2A4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4733E"/>
    <w:multiLevelType w:val="hybridMultilevel"/>
    <w:tmpl w:val="A984C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77CCA"/>
    <w:multiLevelType w:val="hybridMultilevel"/>
    <w:tmpl w:val="706C61E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444209"/>
    <w:multiLevelType w:val="hybridMultilevel"/>
    <w:tmpl w:val="4F4C8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641C9"/>
    <w:multiLevelType w:val="hybridMultilevel"/>
    <w:tmpl w:val="DCFAE2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833C5B"/>
    <w:multiLevelType w:val="hybridMultilevel"/>
    <w:tmpl w:val="A8E616A8"/>
    <w:lvl w:ilvl="0" w:tplc="755E0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F017E"/>
    <w:multiLevelType w:val="hybridMultilevel"/>
    <w:tmpl w:val="011AA9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A2C84"/>
    <w:multiLevelType w:val="hybridMultilevel"/>
    <w:tmpl w:val="BCA47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C5365"/>
    <w:multiLevelType w:val="hybridMultilevel"/>
    <w:tmpl w:val="2E12AD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21657"/>
    <w:multiLevelType w:val="hybridMultilevel"/>
    <w:tmpl w:val="7DB4F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C5ABC"/>
    <w:multiLevelType w:val="hybridMultilevel"/>
    <w:tmpl w:val="63D0BA54"/>
    <w:lvl w:ilvl="0" w:tplc="32985CA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B20E3"/>
    <w:multiLevelType w:val="hybridMultilevel"/>
    <w:tmpl w:val="C64272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D7FDD"/>
    <w:multiLevelType w:val="hybridMultilevel"/>
    <w:tmpl w:val="32461D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715E0013"/>
    <w:multiLevelType w:val="hybridMultilevel"/>
    <w:tmpl w:val="DB3C222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7474D"/>
    <w:multiLevelType w:val="hybridMultilevel"/>
    <w:tmpl w:val="D38C63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BAC0B0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33477"/>
    <w:multiLevelType w:val="hybridMultilevel"/>
    <w:tmpl w:val="14AC88DE"/>
    <w:lvl w:ilvl="0" w:tplc="040C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12"/>
  </w:num>
  <w:num w:numId="5">
    <w:abstractNumId w:val="10"/>
  </w:num>
  <w:num w:numId="6">
    <w:abstractNumId w:val="8"/>
  </w:num>
  <w:num w:numId="7">
    <w:abstractNumId w:val="15"/>
  </w:num>
  <w:num w:numId="8">
    <w:abstractNumId w:val="5"/>
  </w:num>
  <w:num w:numId="9">
    <w:abstractNumId w:val="16"/>
  </w:num>
  <w:num w:numId="10">
    <w:abstractNumId w:val="2"/>
  </w:num>
  <w:num w:numId="11">
    <w:abstractNumId w:val="27"/>
  </w:num>
  <w:num w:numId="12">
    <w:abstractNumId w:val="26"/>
  </w:num>
  <w:num w:numId="13">
    <w:abstractNumId w:val="22"/>
  </w:num>
  <w:num w:numId="14">
    <w:abstractNumId w:val="1"/>
  </w:num>
  <w:num w:numId="15">
    <w:abstractNumId w:val="14"/>
  </w:num>
  <w:num w:numId="16">
    <w:abstractNumId w:val="31"/>
  </w:num>
  <w:num w:numId="17">
    <w:abstractNumId w:val="6"/>
  </w:num>
  <w:num w:numId="18">
    <w:abstractNumId w:val="0"/>
  </w:num>
  <w:num w:numId="19">
    <w:abstractNumId w:val="30"/>
  </w:num>
  <w:num w:numId="20">
    <w:abstractNumId w:val="28"/>
  </w:num>
  <w:num w:numId="21">
    <w:abstractNumId w:val="29"/>
  </w:num>
  <w:num w:numId="22">
    <w:abstractNumId w:val="9"/>
  </w:num>
  <w:num w:numId="23">
    <w:abstractNumId w:val="21"/>
  </w:num>
  <w:num w:numId="24">
    <w:abstractNumId w:val="11"/>
  </w:num>
  <w:num w:numId="25">
    <w:abstractNumId w:val="23"/>
  </w:num>
  <w:num w:numId="26">
    <w:abstractNumId w:val="19"/>
  </w:num>
  <w:num w:numId="27">
    <w:abstractNumId w:val="7"/>
  </w:num>
  <w:num w:numId="28">
    <w:abstractNumId w:val="17"/>
  </w:num>
  <w:num w:numId="29">
    <w:abstractNumId w:val="13"/>
  </w:num>
  <w:num w:numId="30">
    <w:abstractNumId w:val="20"/>
  </w:num>
  <w:num w:numId="31">
    <w:abstractNumId w:val="4"/>
  </w:num>
  <w:num w:numId="3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80"/>
    <w:rsid w:val="00001B26"/>
    <w:rsid w:val="0002029D"/>
    <w:rsid w:val="00085785"/>
    <w:rsid w:val="000A208A"/>
    <w:rsid w:val="000C5D39"/>
    <w:rsid w:val="000D4D2A"/>
    <w:rsid w:val="0011556E"/>
    <w:rsid w:val="00147C8B"/>
    <w:rsid w:val="00155856"/>
    <w:rsid w:val="001832B0"/>
    <w:rsid w:val="00191BF9"/>
    <w:rsid w:val="0019403A"/>
    <w:rsid w:val="001A0B94"/>
    <w:rsid w:val="001B35A2"/>
    <w:rsid w:val="001E2D89"/>
    <w:rsid w:val="0023619D"/>
    <w:rsid w:val="0024050F"/>
    <w:rsid w:val="00245927"/>
    <w:rsid w:val="00251A2E"/>
    <w:rsid w:val="00251B1F"/>
    <w:rsid w:val="0027176E"/>
    <w:rsid w:val="00291372"/>
    <w:rsid w:val="002971F2"/>
    <w:rsid w:val="002A5CE4"/>
    <w:rsid w:val="002D1909"/>
    <w:rsid w:val="002E5D80"/>
    <w:rsid w:val="003033DE"/>
    <w:rsid w:val="00307471"/>
    <w:rsid w:val="00361C0E"/>
    <w:rsid w:val="00364974"/>
    <w:rsid w:val="003E7D71"/>
    <w:rsid w:val="0040238A"/>
    <w:rsid w:val="004074D9"/>
    <w:rsid w:val="004147BD"/>
    <w:rsid w:val="00460E67"/>
    <w:rsid w:val="004769B2"/>
    <w:rsid w:val="00482B33"/>
    <w:rsid w:val="00483F74"/>
    <w:rsid w:val="004D5DFE"/>
    <w:rsid w:val="00501461"/>
    <w:rsid w:val="00506533"/>
    <w:rsid w:val="00520430"/>
    <w:rsid w:val="00594F3B"/>
    <w:rsid w:val="005B67BB"/>
    <w:rsid w:val="005D6F0B"/>
    <w:rsid w:val="005E7440"/>
    <w:rsid w:val="0063593B"/>
    <w:rsid w:val="006500D3"/>
    <w:rsid w:val="00652F1A"/>
    <w:rsid w:val="0066224E"/>
    <w:rsid w:val="00662794"/>
    <w:rsid w:val="00670A6E"/>
    <w:rsid w:val="00696584"/>
    <w:rsid w:val="006D0D34"/>
    <w:rsid w:val="007060CD"/>
    <w:rsid w:val="00743F71"/>
    <w:rsid w:val="0077267C"/>
    <w:rsid w:val="00784D37"/>
    <w:rsid w:val="0079541E"/>
    <w:rsid w:val="00795A5E"/>
    <w:rsid w:val="007C6C60"/>
    <w:rsid w:val="007E25ED"/>
    <w:rsid w:val="007F14EF"/>
    <w:rsid w:val="008026D6"/>
    <w:rsid w:val="0080293E"/>
    <w:rsid w:val="00825A4B"/>
    <w:rsid w:val="00870A8B"/>
    <w:rsid w:val="00871BB8"/>
    <w:rsid w:val="00874ED2"/>
    <w:rsid w:val="008A4566"/>
    <w:rsid w:val="008F3CC3"/>
    <w:rsid w:val="009342D8"/>
    <w:rsid w:val="00963061"/>
    <w:rsid w:val="009727B4"/>
    <w:rsid w:val="009759B2"/>
    <w:rsid w:val="00984424"/>
    <w:rsid w:val="009B63D3"/>
    <w:rsid w:val="009C711D"/>
    <w:rsid w:val="009F4EF0"/>
    <w:rsid w:val="00A03008"/>
    <w:rsid w:val="00A0622B"/>
    <w:rsid w:val="00A1258E"/>
    <w:rsid w:val="00A422F5"/>
    <w:rsid w:val="00A504E1"/>
    <w:rsid w:val="00A6243B"/>
    <w:rsid w:val="00A75326"/>
    <w:rsid w:val="00AA7EB0"/>
    <w:rsid w:val="00AC4EFF"/>
    <w:rsid w:val="00AE5602"/>
    <w:rsid w:val="00B01926"/>
    <w:rsid w:val="00B04A54"/>
    <w:rsid w:val="00B4297D"/>
    <w:rsid w:val="00B51503"/>
    <w:rsid w:val="00B717A1"/>
    <w:rsid w:val="00B72587"/>
    <w:rsid w:val="00BA1E02"/>
    <w:rsid w:val="00BB4CBB"/>
    <w:rsid w:val="00BE21B5"/>
    <w:rsid w:val="00C0270D"/>
    <w:rsid w:val="00C13459"/>
    <w:rsid w:val="00C13D62"/>
    <w:rsid w:val="00C3617D"/>
    <w:rsid w:val="00C56EE9"/>
    <w:rsid w:val="00CB417D"/>
    <w:rsid w:val="00CB4384"/>
    <w:rsid w:val="00CD418D"/>
    <w:rsid w:val="00CD5A3F"/>
    <w:rsid w:val="00CD6DF4"/>
    <w:rsid w:val="00CE0169"/>
    <w:rsid w:val="00D04345"/>
    <w:rsid w:val="00D34593"/>
    <w:rsid w:val="00D7625A"/>
    <w:rsid w:val="00DA3676"/>
    <w:rsid w:val="00DA7596"/>
    <w:rsid w:val="00DD0498"/>
    <w:rsid w:val="00DD40CD"/>
    <w:rsid w:val="00DF5A38"/>
    <w:rsid w:val="00E0592C"/>
    <w:rsid w:val="00E7057B"/>
    <w:rsid w:val="00E73AB4"/>
    <w:rsid w:val="00E92804"/>
    <w:rsid w:val="00ED3839"/>
    <w:rsid w:val="00EE3CB3"/>
    <w:rsid w:val="00EE7BE2"/>
    <w:rsid w:val="00F03541"/>
    <w:rsid w:val="00F274DC"/>
    <w:rsid w:val="00F27D24"/>
    <w:rsid w:val="00F3005B"/>
    <w:rsid w:val="00F55E81"/>
    <w:rsid w:val="00FA3279"/>
    <w:rsid w:val="00FB6D06"/>
    <w:rsid w:val="00FC7275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622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4D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75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1503"/>
    <w:pPr>
      <w:pBdr>
        <w:bottom w:val="single" w:sz="4" w:space="4" w:color="4F81BD" w:themeColor="accent1"/>
      </w:pBdr>
      <w:overflowPunct w:val="0"/>
      <w:autoSpaceDE w:val="0"/>
      <w:autoSpaceDN w:val="0"/>
      <w:adjustRightInd w:val="0"/>
      <w:spacing w:before="200" w:after="280"/>
      <w:ind w:left="936" w:right="936"/>
    </w:pPr>
    <w:rPr>
      <w:b/>
      <w:bCs/>
      <w:i/>
      <w:iCs/>
      <w:color w:val="4F81BD" w:themeColor="accent1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1503"/>
    <w:rPr>
      <w:b/>
      <w:bCs/>
      <w:i/>
      <w:iCs/>
      <w:color w:val="4F81BD" w:themeColor="accent1"/>
    </w:rPr>
  </w:style>
  <w:style w:type="character" w:customStyle="1" w:styleId="text8">
    <w:name w:val="text8"/>
    <w:basedOn w:val="Policepardfaut"/>
    <w:rsid w:val="00870A8B"/>
  </w:style>
  <w:style w:type="paragraph" w:styleId="En-tte">
    <w:name w:val="header"/>
    <w:basedOn w:val="Normal"/>
    <w:link w:val="En-tteCar"/>
    <w:uiPriority w:val="99"/>
    <w:unhideWhenUsed/>
    <w:rsid w:val="00FB6D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6D0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6D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6D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622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4D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75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1503"/>
    <w:pPr>
      <w:pBdr>
        <w:bottom w:val="single" w:sz="4" w:space="4" w:color="4F81BD" w:themeColor="accent1"/>
      </w:pBdr>
      <w:overflowPunct w:val="0"/>
      <w:autoSpaceDE w:val="0"/>
      <w:autoSpaceDN w:val="0"/>
      <w:adjustRightInd w:val="0"/>
      <w:spacing w:before="200" w:after="280"/>
      <w:ind w:left="936" w:right="936"/>
    </w:pPr>
    <w:rPr>
      <w:b/>
      <w:bCs/>
      <w:i/>
      <w:iCs/>
      <w:color w:val="4F81BD" w:themeColor="accent1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1503"/>
    <w:rPr>
      <w:b/>
      <w:bCs/>
      <w:i/>
      <w:iCs/>
      <w:color w:val="4F81BD" w:themeColor="accent1"/>
    </w:rPr>
  </w:style>
  <w:style w:type="character" w:customStyle="1" w:styleId="text8">
    <w:name w:val="text8"/>
    <w:basedOn w:val="Policepardfaut"/>
    <w:rsid w:val="00870A8B"/>
  </w:style>
  <w:style w:type="paragraph" w:styleId="En-tte">
    <w:name w:val="header"/>
    <w:basedOn w:val="Normal"/>
    <w:link w:val="En-tteCar"/>
    <w:uiPriority w:val="99"/>
    <w:unhideWhenUsed/>
    <w:rsid w:val="00FB6D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6D0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6D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6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8875-DE1F-4AA6-8138-F8D15541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DE POSTE</vt:lpstr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DE POSTE</dc:title>
  <dc:creator>JOLLIVET Aurelie</dc:creator>
  <cp:lastModifiedBy>JULLIAN Pauline</cp:lastModifiedBy>
  <cp:revision>22</cp:revision>
  <cp:lastPrinted>2021-11-24T12:29:00Z</cp:lastPrinted>
  <dcterms:created xsi:type="dcterms:W3CDTF">2021-11-22T16:26:00Z</dcterms:created>
  <dcterms:modified xsi:type="dcterms:W3CDTF">2021-12-10T10:29:00Z</dcterms:modified>
</cp:coreProperties>
</file>